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8F" w:rsidRDefault="008B768F" w:rsidP="008B768F">
      <w:pPr>
        <w:shd w:val="clear" w:color="auto" w:fill="FFFFFF"/>
        <w:spacing w:after="120" w:line="240" w:lineRule="auto"/>
        <w:rPr>
          <w:rFonts w:ascii="Arial" w:eastAsia="Times New Roman" w:hAnsi="Arial" w:cs="Arial"/>
          <w:b/>
          <w:bCs/>
          <w:color w:val="22377A"/>
          <w:lang w:eastAsia="it-IT"/>
        </w:rPr>
      </w:pPr>
      <w:r>
        <w:rPr>
          <w:rFonts w:ascii="Arial" w:eastAsia="Times New Roman" w:hAnsi="Arial" w:cs="Arial"/>
          <w:b/>
          <w:bCs/>
          <w:color w:val="22377A"/>
          <w:lang w:eastAsia="it-IT"/>
        </w:rPr>
        <w:t>Emenda</w:t>
      </w:r>
      <w:bookmarkStart w:id="0" w:name="_GoBack"/>
      <w:bookmarkEnd w:id="0"/>
      <w:r>
        <w:rPr>
          <w:rFonts w:ascii="Arial" w:eastAsia="Times New Roman" w:hAnsi="Arial" w:cs="Arial"/>
          <w:b/>
          <w:bCs/>
          <w:color w:val="22377A"/>
          <w:lang w:eastAsia="it-IT"/>
        </w:rPr>
        <w:t xml:space="preserve">mento </w:t>
      </w:r>
      <w:r w:rsidR="00912ADB" w:rsidRPr="00912ADB">
        <w:rPr>
          <w:rFonts w:ascii="Arial" w:eastAsia="Times New Roman" w:hAnsi="Arial" w:cs="Arial"/>
          <w:b/>
          <w:bCs/>
          <w:color w:val="22377A"/>
          <w:lang w:eastAsia="it-IT"/>
        </w:rPr>
        <w:t>9.010</w:t>
      </w:r>
      <w:r w:rsidR="00912ADB">
        <w:rPr>
          <w:rFonts w:ascii="Arial" w:eastAsia="Times New Roman" w:hAnsi="Arial" w:cs="Arial"/>
          <w:bCs/>
          <w:color w:val="22377A"/>
          <w:lang w:eastAsia="it-IT"/>
        </w:rPr>
        <w:t xml:space="preserve"> </w:t>
      </w:r>
      <w:r w:rsidRPr="008B768F">
        <w:rPr>
          <w:rFonts w:ascii="Arial" w:eastAsia="Times New Roman" w:hAnsi="Arial" w:cs="Arial"/>
          <w:b/>
          <w:bCs/>
          <w:color w:val="22377A"/>
          <w:lang w:eastAsia="it-IT"/>
        </w:rPr>
        <w:t>Indici sintetici di affidabilità fiscale</w:t>
      </w:r>
    </w:p>
    <w:p w:rsidR="008B768F" w:rsidRPr="008B768F" w:rsidRDefault="008B768F" w:rsidP="008B768F">
      <w:pPr>
        <w:shd w:val="clear" w:color="auto" w:fill="FFFFFF"/>
        <w:spacing w:after="120" w:line="240" w:lineRule="auto"/>
        <w:rPr>
          <w:rFonts w:ascii="Arial" w:eastAsia="Times New Roman" w:hAnsi="Arial" w:cs="Arial"/>
          <w:bCs/>
          <w:color w:val="22377A"/>
          <w:lang w:eastAsia="it-IT"/>
        </w:rPr>
      </w:pPr>
      <w:r w:rsidRPr="008B768F">
        <w:rPr>
          <w:rFonts w:ascii="Arial" w:eastAsia="Times New Roman" w:hAnsi="Arial" w:cs="Arial"/>
          <w:bCs/>
          <w:color w:val="22377A"/>
          <w:lang w:eastAsia="it-IT"/>
        </w:rPr>
        <w:t>Proposta emendativa pubblicata nel Bollettino delle Giunt</w:t>
      </w:r>
      <w:r>
        <w:rPr>
          <w:rFonts w:ascii="Arial" w:eastAsia="Times New Roman" w:hAnsi="Arial" w:cs="Arial"/>
          <w:bCs/>
          <w:color w:val="22377A"/>
          <w:lang w:eastAsia="it-IT"/>
        </w:rPr>
        <w:t xml:space="preserve">e e Commissioni del 23/05/2017 </w:t>
      </w:r>
    </w:p>
    <w:p w:rsidR="008B768F" w:rsidRPr="008B768F" w:rsidRDefault="008B768F" w:rsidP="008B768F">
      <w:pPr>
        <w:shd w:val="clear" w:color="auto" w:fill="FFFFFF"/>
        <w:spacing w:after="0" w:line="240" w:lineRule="auto"/>
        <w:rPr>
          <w:rFonts w:ascii="Arial" w:eastAsia="Times New Roman" w:hAnsi="Arial" w:cs="Arial"/>
          <w:color w:val="22377A"/>
          <w:lang w:eastAsia="it-IT"/>
        </w:rPr>
      </w:pPr>
      <w:r w:rsidRPr="008B768F">
        <w:rPr>
          <w:rFonts w:ascii="Arial" w:eastAsia="Times New Roman" w:hAnsi="Arial" w:cs="Arial"/>
          <w:bCs/>
          <w:color w:val="22377A"/>
          <w:lang w:eastAsia="it-IT"/>
        </w:rPr>
        <w:t>9.010.</w:t>
      </w:r>
      <w:r w:rsidRPr="008B768F">
        <w:rPr>
          <w:rFonts w:ascii="Arial" w:eastAsia="Times New Roman" w:hAnsi="Arial" w:cs="Arial"/>
          <w:color w:val="22377A"/>
          <w:lang w:eastAsia="it-IT"/>
        </w:rPr>
        <w:t>(nuova formulazione)</w:t>
      </w:r>
    </w:p>
    <w:p w:rsidR="008B768F" w:rsidRPr="008B768F" w:rsidRDefault="008B768F" w:rsidP="008B768F">
      <w:pPr>
        <w:shd w:val="clear" w:color="auto" w:fill="FFFFFF"/>
        <w:spacing w:after="150" w:line="240" w:lineRule="auto"/>
        <w:rPr>
          <w:rFonts w:ascii="Arial" w:eastAsia="Times New Roman" w:hAnsi="Arial" w:cs="Arial"/>
          <w:color w:val="000000"/>
          <w:sz w:val="18"/>
          <w:szCs w:val="18"/>
          <w:lang w:eastAsia="it-IT"/>
        </w:rPr>
      </w:pPr>
      <w:r w:rsidRPr="008B768F">
        <w:rPr>
          <w:rFonts w:ascii="Arial" w:eastAsia="Times New Roman" w:hAnsi="Arial" w:cs="Arial"/>
          <w:b/>
          <w:bCs/>
          <w:color w:val="FFFFFF"/>
          <w:sz w:val="18"/>
          <w:szCs w:val="18"/>
          <w:bdr w:val="single" w:sz="12" w:space="0" w:color="006400" w:frame="1"/>
          <w:shd w:val="clear" w:color="auto" w:fill="006400"/>
          <w:lang w:eastAsia="it-IT"/>
        </w:rPr>
        <w:t>approvato</w:t>
      </w:r>
    </w:p>
    <w:p w:rsidR="008B768F" w:rsidRPr="008B768F" w:rsidRDefault="008B768F" w:rsidP="008B768F">
      <w:pPr>
        <w:shd w:val="clear" w:color="auto" w:fill="FFFFFF"/>
        <w:spacing w:before="100" w:beforeAutospacing="1" w:after="100" w:afterAutospacing="1" w:line="240" w:lineRule="auto"/>
        <w:rPr>
          <w:rFonts w:ascii="Arial" w:eastAsia="Times New Roman" w:hAnsi="Arial" w:cs="Arial"/>
          <w:color w:val="000000"/>
          <w:sz w:val="19"/>
          <w:szCs w:val="19"/>
          <w:lang w:eastAsia="it-IT"/>
        </w:rPr>
      </w:pPr>
      <w:r w:rsidRPr="008B768F">
        <w:rPr>
          <w:rFonts w:ascii="Arial" w:eastAsia="Times New Roman" w:hAnsi="Arial" w:cs="Arial"/>
          <w:i/>
          <w:iCs/>
          <w:color w:val="000000"/>
          <w:sz w:val="19"/>
          <w:szCs w:val="19"/>
          <w:lang w:eastAsia="it-IT"/>
        </w:rPr>
        <w:t>Dopo l'articolo 9, aggiungere il seguente:</w:t>
      </w:r>
    </w:p>
    <w:p w:rsidR="008B768F" w:rsidRPr="008B768F" w:rsidRDefault="008B768F" w:rsidP="00912ADB">
      <w:pPr>
        <w:shd w:val="clear" w:color="auto" w:fill="FFFFFF"/>
        <w:spacing w:after="0" w:line="240" w:lineRule="auto"/>
        <w:jc w:val="center"/>
        <w:rPr>
          <w:rFonts w:ascii="Arial" w:eastAsia="Times New Roman" w:hAnsi="Arial" w:cs="Arial"/>
          <w:b/>
          <w:color w:val="000000"/>
          <w:sz w:val="19"/>
          <w:szCs w:val="19"/>
          <w:lang w:eastAsia="it-IT"/>
        </w:rPr>
      </w:pPr>
      <w:r w:rsidRPr="008B768F">
        <w:rPr>
          <w:rFonts w:ascii="Arial" w:eastAsia="Times New Roman" w:hAnsi="Arial" w:cs="Arial"/>
          <w:b/>
          <w:smallCaps/>
          <w:color w:val="000000"/>
          <w:sz w:val="19"/>
          <w:szCs w:val="19"/>
          <w:lang w:eastAsia="it-IT"/>
        </w:rPr>
        <w:t>Art.</w:t>
      </w:r>
      <w:r w:rsidRPr="00912ADB">
        <w:rPr>
          <w:rFonts w:ascii="Arial" w:eastAsia="Times New Roman" w:hAnsi="Arial" w:cs="Arial"/>
          <w:b/>
          <w:color w:val="000000"/>
          <w:sz w:val="19"/>
          <w:szCs w:val="19"/>
          <w:lang w:eastAsia="it-IT"/>
        </w:rPr>
        <w:t> </w:t>
      </w:r>
      <w:r w:rsidRPr="008B768F">
        <w:rPr>
          <w:rFonts w:ascii="Arial" w:eastAsia="Times New Roman" w:hAnsi="Arial" w:cs="Arial"/>
          <w:b/>
          <w:color w:val="000000"/>
          <w:sz w:val="19"/>
          <w:szCs w:val="19"/>
          <w:lang w:eastAsia="it-IT"/>
        </w:rPr>
        <w:t>9-</w:t>
      </w:r>
      <w:r w:rsidRPr="008B768F">
        <w:rPr>
          <w:rFonts w:ascii="Arial" w:eastAsia="Times New Roman" w:hAnsi="Arial" w:cs="Arial"/>
          <w:b/>
          <w:i/>
          <w:iCs/>
          <w:color w:val="000000"/>
          <w:sz w:val="19"/>
          <w:szCs w:val="19"/>
          <w:lang w:eastAsia="it-IT"/>
        </w:rPr>
        <w:t>bis.</w:t>
      </w:r>
      <w:r w:rsidRPr="008B768F">
        <w:rPr>
          <w:rFonts w:ascii="Arial" w:eastAsia="Times New Roman" w:hAnsi="Arial" w:cs="Arial"/>
          <w:b/>
          <w:color w:val="000000"/>
          <w:sz w:val="19"/>
          <w:szCs w:val="19"/>
          <w:lang w:eastAsia="it-IT"/>
        </w:rPr>
        <w:br/>
      </w:r>
      <w:r w:rsidRPr="008B768F">
        <w:rPr>
          <w:rFonts w:ascii="Arial" w:eastAsia="Times New Roman" w:hAnsi="Arial" w:cs="Arial"/>
          <w:b/>
          <w:i/>
          <w:iCs/>
          <w:color w:val="000000"/>
          <w:sz w:val="19"/>
          <w:szCs w:val="19"/>
          <w:lang w:eastAsia="it-IT"/>
        </w:rPr>
        <w:t>(Indici sintetici di affidabilità fiscale).</w:t>
      </w:r>
    </w:p>
    <w:p w:rsidR="008B768F"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 Al fine di favorire l'emersione spontanea delle basi imponibili e di stimolare l'assolvimento degli obblighi tributari da parte dei contribuenti e il rafforzamento della collaborazione tra questi e l'Amministrazione finanziaria, anche con l'utilizzo di forme di comunicazione preventiva rispetto alle scadenze fiscali, sono istituiti indici sintetici di affidabilità fiscale per gli esercenti attività di impresa, arti o professioni, di seguito denominati «indici». Gli indici, elaborati con una metodologia basata su analisi di dati e informazioni relativi a più periodi d'imposta, rappresentano la sintesi di indicatori elementari tesi a verificare la normalità e la coerenza della gestione aziendale o professionale, anche con riferimento a diverse basi imponibili, ed esprimono su una scala da 1 a 10 il grado di affidabilità fiscale riconosciuto a ciascun contribuente, anche al fine di consentire a quest'ultimo, sulla base dei dati dichiarati entro i termini ordinariamente previsti, l'accesso al regime premiale di cui al comma 10.</w:t>
      </w:r>
      <w:r w:rsidRPr="00912ADB">
        <w:rPr>
          <w:rFonts w:ascii="Arial" w:eastAsia="Times New Roman" w:hAnsi="Arial" w:cs="Arial"/>
          <w:color w:val="000000"/>
          <w:sz w:val="19"/>
          <w:szCs w:val="19"/>
          <w:lang w:eastAsia="it-IT"/>
        </w:rPr>
        <w:t> </w:t>
      </w:r>
    </w:p>
    <w:p w:rsidR="00AB7B2E"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xml:space="preserve">2. Gli indici sono approvati con decreto del Ministro dell'economia e delle finanze entro il 31 dicembre del periodo d'imposta per il quale sono applicati. Le eventuali integrazioni degli indici, indispensabili per tenere conto di situazioni di natura straordinaria, anche correlate a modifiche normative e ad andamenti economici </w:t>
      </w:r>
    </w:p>
    <w:p w:rsidR="008B768F"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t>e dei mercati, con particolare riguardo a determinate attività economiche o aree territoriali, sono approvate entro il mese di febbraio del periodo d'imposta successivo a quello per il quale sono applicate. Gli indici sono soggetti a revisione almeno ogni due anni dalla loro prima applicazione o dall'ultima revisione. Con provvedimento del direttore dell'Agenzia delle entrate, da emanare entro il mese di gennaio di ciascun anno, sono individuate le attività economiche per le quali devono essere elaborati gli indici ovvero deve esserne effettuata la revisione. Per il periodo d'imposta in corso al 31 dicembre 2017, il provvedimento del direttore dell'Agenzia delle entrate di cui al precedente periodo è emanato entro novanta giorni dalla data di entrata in vigore della legge di conversione del presente decreto.</w:t>
      </w:r>
      <w:r w:rsidRPr="00912ADB">
        <w:rPr>
          <w:rFonts w:ascii="Arial" w:eastAsia="Times New Roman" w:hAnsi="Arial" w:cs="Arial"/>
          <w:color w:val="000000"/>
          <w:sz w:val="19"/>
          <w:szCs w:val="19"/>
          <w:lang w:eastAsia="it-IT"/>
        </w:rPr>
        <w:t> </w:t>
      </w:r>
    </w:p>
    <w:p w:rsidR="00912ADB" w:rsidRPr="00912ADB" w:rsidRDefault="00912ADB" w:rsidP="00912ADB">
      <w:pPr>
        <w:shd w:val="clear" w:color="auto" w:fill="FFFFFF"/>
        <w:spacing w:after="0" w:line="240" w:lineRule="auto"/>
        <w:rPr>
          <w:rFonts w:ascii="Arial" w:eastAsia="Times New Roman" w:hAnsi="Arial" w:cs="Arial"/>
          <w:color w:val="000000"/>
          <w:sz w:val="19"/>
          <w:szCs w:val="19"/>
          <w:lang w:eastAsia="it-IT"/>
        </w:rPr>
      </w:pP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3. I dati rilevanti ai fini della progettazione, della realizzazione, della costruzione e dell'applicazione degli indici sono acquisiti dalle dichiarazioni fiscali previste dall'ordinamento vigente, dalle fonti informative disponibili presso l'anagrafe tributaria, le agenzie fiscali, l'Istituto nazionale della previdenza sociale, l'Ispettorato nazionale del lavoro e il Corpo della guardia di finanza, nonché da altre fonti.</w:t>
      </w:r>
      <w:r w:rsidRPr="00912ADB">
        <w:rPr>
          <w:rFonts w:ascii="Arial" w:eastAsia="Times New Roman" w:hAnsi="Arial" w:cs="Arial"/>
          <w:color w:val="000000"/>
          <w:sz w:val="19"/>
          <w:szCs w:val="19"/>
          <w:lang w:eastAsia="it-IT"/>
        </w:rPr>
        <w:t> </w:t>
      </w:r>
    </w:p>
    <w:p w:rsidR="008B768F"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3-</w:t>
      </w:r>
      <w:r w:rsidRPr="008B768F">
        <w:rPr>
          <w:rFonts w:ascii="Arial" w:eastAsia="Times New Roman" w:hAnsi="Arial" w:cs="Arial"/>
          <w:i/>
          <w:iCs/>
          <w:color w:val="000000"/>
          <w:sz w:val="19"/>
          <w:szCs w:val="19"/>
          <w:lang w:eastAsia="it-IT"/>
        </w:rPr>
        <w:t>bis</w:t>
      </w:r>
      <w:r w:rsidRPr="008B768F">
        <w:rPr>
          <w:rFonts w:ascii="Arial" w:eastAsia="Times New Roman" w:hAnsi="Arial" w:cs="Arial"/>
          <w:color w:val="000000"/>
          <w:sz w:val="19"/>
          <w:szCs w:val="19"/>
          <w:lang w:eastAsia="it-IT"/>
        </w:rPr>
        <w:t>. I contribuenti, cui si applicano gli indici di affidabilità fiscale, dichiarano, anche al fine di consentire un'omogenea raccolta informativa, i dati economici, contabili e strutturali rilevanti per l'applicazione degli stessi, sulla base di quanto previsto dalla relativa documentazione tecnica e metodologica approvata con il decreto del Ministro dell'economia e delle finanze di cui al comma 2, indipendentemente dal regime di determinazione del reddito utilizzato. Con provvedimento del direttore dell'Agenzia delle entrate, da emanare entro il 31 gennaio dell'anno per il quale si applicano gli indici, sono individuati i dati di cui al periodo precedente. La disposizione di cui al primo periodo si applica, nelle more dell'approvazione degli indici di affidabilità fiscale per tutte le attività economiche interessate, anche ai parametri previsti dall'articolo 3, commi da 181 a 189, della legge 28 dicembre 1995,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549, e agli studi di settore previsti dall'articolo 62-</w:t>
      </w:r>
      <w:r w:rsidRPr="008B768F">
        <w:rPr>
          <w:rFonts w:ascii="Arial" w:eastAsia="Times New Roman" w:hAnsi="Arial" w:cs="Arial"/>
          <w:i/>
          <w:iCs/>
          <w:color w:val="000000"/>
          <w:sz w:val="19"/>
          <w:szCs w:val="19"/>
          <w:lang w:eastAsia="it-IT"/>
        </w:rPr>
        <w:t>bis</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del decreto-legge 30 agosto 1993,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331, convertito, con modificazioni, dalla legge 29 ottobre 1993,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427. Per i periodi d'imposta 2017 e 2018, il provvedimento di cui al secondo periodo del presente comma è emanato entro il termine previsto dall'articolo 1, comma 1, del regolamento di cui al decreto del Presidente della Repubblica 22 luglio 1998,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322, per l'approvazione dei modelli di dichiarazione relativi ai predetti periodi d'imposta.</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4. L'Agenzia delle entrate mette a disposizione dei contribuenti o degli intermediari di cui essi possono avvalersi, anche mediante l'utilizzo delle reti telematiche e delle nuove tecnologie informatiche, appositi programmi informatici di ausilio alla compilazione e alla trasmissione dei dati di cui al comma 3-</w:t>
      </w:r>
      <w:r w:rsidRPr="008B768F">
        <w:rPr>
          <w:rFonts w:ascii="Arial" w:eastAsia="Times New Roman" w:hAnsi="Arial" w:cs="Arial"/>
          <w:i/>
          <w:iCs/>
          <w:color w:val="000000"/>
          <w:sz w:val="19"/>
          <w:szCs w:val="19"/>
          <w:lang w:eastAsia="it-IT"/>
        </w:rPr>
        <w:t>bis</w:t>
      </w:r>
      <w:r w:rsidRPr="008B768F">
        <w:rPr>
          <w:rFonts w:ascii="Arial" w:eastAsia="Times New Roman" w:hAnsi="Arial" w:cs="Arial"/>
          <w:color w:val="000000"/>
          <w:sz w:val="19"/>
          <w:szCs w:val="19"/>
          <w:lang w:eastAsia="it-IT"/>
        </w:rPr>
        <w:t>, nonché gli elementi e le informazioni derivanti dall'elaborazione e dall'applicazione degli indici.</w:t>
      </w:r>
      <w:r w:rsidRPr="00912ADB">
        <w:rPr>
          <w:rFonts w:ascii="Arial" w:eastAsia="Times New Roman" w:hAnsi="Arial" w:cs="Arial"/>
          <w:color w:val="000000"/>
          <w:sz w:val="19"/>
          <w:szCs w:val="19"/>
          <w:lang w:eastAsia="it-IT"/>
        </w:rPr>
        <w:t> </w:t>
      </w:r>
    </w:p>
    <w:p w:rsidR="008B768F"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5. Gli indici non si applicano ai periodi d'imposta nei quali il contribuente:</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a)</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ha iniziato o cessato l'attività ovvero non si trova in condizioni di normale svolgimento della stessa;</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b)</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dichiara ricavi di cui all'articolo 85, comma 1, esclusi quelli di cui alle lettere</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c)</w:t>
      </w:r>
      <w:r w:rsidRPr="008B768F">
        <w:rPr>
          <w:rFonts w:ascii="Arial" w:eastAsia="Times New Roman" w:hAnsi="Arial" w:cs="Arial"/>
          <w:color w:val="000000"/>
          <w:sz w:val="19"/>
          <w:szCs w:val="19"/>
          <w:lang w:eastAsia="it-IT"/>
        </w:rPr>
        <w:t>,</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d)</w:t>
      </w:r>
      <w:r w:rsidRPr="00912ADB">
        <w:rPr>
          <w:rFonts w:ascii="Arial" w:eastAsia="Times New Roman" w:hAnsi="Arial" w:cs="Arial"/>
          <w:i/>
          <w:iCs/>
          <w:color w:val="000000"/>
          <w:sz w:val="19"/>
          <w:szCs w:val="19"/>
          <w:lang w:eastAsia="it-IT"/>
        </w:rPr>
        <w:t> </w:t>
      </w:r>
      <w:r w:rsidRPr="008B768F">
        <w:rPr>
          <w:rFonts w:ascii="Arial" w:eastAsia="Times New Roman" w:hAnsi="Arial" w:cs="Arial"/>
          <w:color w:val="000000"/>
          <w:sz w:val="19"/>
          <w:szCs w:val="19"/>
          <w:lang w:eastAsia="it-IT"/>
        </w:rPr>
        <w:t>ed</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e)</w:t>
      </w:r>
      <w:r w:rsidRPr="008B768F">
        <w:rPr>
          <w:rFonts w:ascii="Arial" w:eastAsia="Times New Roman" w:hAnsi="Arial" w:cs="Arial"/>
          <w:color w:val="000000"/>
          <w:sz w:val="19"/>
          <w:szCs w:val="19"/>
          <w:lang w:eastAsia="it-IT"/>
        </w:rPr>
        <w:t>, o compensi di cui all'articolo 54, comma 1, del testo unico delle imposte sui redditi, di cui al decreto del Presidente della Repubblica 22 dicembre 1986,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917, di ammontare superiore al limite stabilito dal decreto di approvazione o revisione dei relativi indici.</w:t>
      </w:r>
    </w:p>
    <w:p w:rsidR="00912ADB" w:rsidRPr="008B768F" w:rsidRDefault="00912ADB" w:rsidP="00912ADB">
      <w:pPr>
        <w:shd w:val="clear" w:color="auto" w:fill="FFFFFF"/>
        <w:spacing w:after="0" w:line="240" w:lineRule="auto"/>
        <w:rPr>
          <w:rFonts w:ascii="Arial" w:eastAsia="Times New Roman" w:hAnsi="Arial" w:cs="Arial"/>
          <w:color w:val="000000"/>
          <w:sz w:val="19"/>
          <w:szCs w:val="19"/>
          <w:lang w:eastAsia="it-IT"/>
        </w:rPr>
      </w:pP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lastRenderedPageBreak/>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 Con decreto del Ministro dell'economia e delle finanze possono essere previste ulteriori ipotesi di esclusione dell'applicabilità degli indici per determinate tipologie di contribuenti.</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7. Con decreto del Ministro dell'economia e delle finanze è istituita una commissione di esperti, designati dallo stesso Ministro, tenuto anche conto delle segnalazioni dell'Amministrazione finanziaria, delle organizzazioni economiche di categoria e degli ordini professionali. La commissione è sentita nella fase di elaborazione e, prima dell'approvazione e della pubblicazione di ciascun indice, esprime il proprio parere sull'idoneità dello stesso a rappresentare la realtà cui si riferisce nonché sulle attività economiche per le quali devono essere elaborati gli indici. I componenti della commissione partecipano alle sue attività a titolo gratuito. Non spetta ad essi il rimborso delle spese eventualmente sostenute. Fino alla costituzione della commissione di cui al presente comma, le sue funzioni sono svolte dalla commissione degli esperti di cui all'articolo 10, comma 7, della legge 8 maggio 1998,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146. Le funzioni di quest'ultima sono attribuite alla commissione di cui al presente comma a decorrere dalla data della sua costituzione.</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8. Per i periodi d'imposta per i quali trovano applicazione gli indici, i contribuenti interessati possono indicare nelle dichiarazioni fiscali ulteriori componenti positivi, non risultanti dalle scritture contabili, rilevanti per la determinazione della base imponibile ai fini delle imposte sui redditi, per migliorare il proprio profilo di affidabilità nonché per accedere al regime premiale di cui al comma 10. Tali ulteriori componenti positivi rilevano anche ai fini dell'imposta regionale sulle attività produttive e determinano un corrispondente maggior volume di affari rilevante ai fini dell'imposta sul valore aggiunto. Ai fini dell'imposta sul valore aggiunto, salva prova contraria, all'ammontare degli ulteriori componenti positivi di cui ai precedenti periodi si applica, tenendo conto dell'esistenza di operazioni non soggette ad imposta ovvero soggette a regimi speciali, l'aliquota media risultante dal rapporto tra l'imposta relativa alle operazioni imponibili, diminuita di quella relativa alle cessioni di beni ammortizzabili, e il volume d'affari dichiarato.</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9. La dichiarazione degli importi di cui al comma 8 non comporta l'applicazione di sanzioni e interessi a condizione che il versamento delle relative imposte sia effettuato entro il termine e con le modalità previsti per il versamento a saldo delle imposte sui redditi, con facoltà di effettuare il pagamento rateale delle somme dovute a titolo di saldo e di acconto delle imposte ai sensi dell'articolo 20 del decreto legislativo 9 luglio 1997,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241.</w:t>
      </w:r>
      <w:r w:rsidRPr="00912ADB">
        <w:rPr>
          <w:rFonts w:ascii="Arial" w:eastAsia="Times New Roman" w:hAnsi="Arial" w:cs="Arial"/>
          <w:color w:val="000000"/>
          <w:sz w:val="19"/>
          <w:szCs w:val="19"/>
          <w:lang w:eastAsia="it-IT"/>
        </w:rPr>
        <w:t> </w:t>
      </w:r>
    </w:p>
    <w:p w:rsidR="008B768F"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10. In relazione ai diversi livelli di affidabilità fiscale conseguenti all'applicazione degli indici, determinati anche per effetto dell'indicazione di ulteriori componenti positivi di cui al comma 8, sono riconosciuti i seguenti benefìci:</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a)</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l'esonero dall'apposizione del visto di conformità per la compensazione di crediti per un importo non superiore a 50.000 euro annui relativamente all'imposta sul valore aggiunto e per un importo non superiore a 20.000 euro annui relativamente alle imposte dirette e all'imposta regionale sulle attività produttive;</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b)</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l'esonero dall'apposizione del visto di conformità ovvero dalla prestazione della garanzia per i rimborsi dell'imposta sul valore aggiunto per un importo non superiore a 50.000 euro annui;</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c)</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l'esclusione dell'applicazione della disciplina delle società non operative di cui all'articolo 30 della legge 23 dicembre 1994,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724, anche ai fini di quanto previsto al secondo periodo del comma 36-</w:t>
      </w:r>
      <w:r w:rsidRPr="008B768F">
        <w:rPr>
          <w:rFonts w:ascii="Arial" w:eastAsia="Times New Roman" w:hAnsi="Arial" w:cs="Arial"/>
          <w:i/>
          <w:iCs/>
          <w:color w:val="000000"/>
          <w:sz w:val="19"/>
          <w:szCs w:val="19"/>
          <w:lang w:eastAsia="it-IT"/>
        </w:rPr>
        <w:t>decies</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dell'articolo 2 del decreto-legge 13 agosto 2011,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138, convertito, con modificazioni, dalla legge 14 settembre 2011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148;</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d)</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l'esclusione degli accertamenti basati sulle presunzioni semplici di cui all'articolo 39, primo comma, lettera</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d)</w:t>
      </w:r>
      <w:r w:rsidRPr="008B768F">
        <w:rPr>
          <w:rFonts w:ascii="Arial" w:eastAsia="Times New Roman" w:hAnsi="Arial" w:cs="Arial"/>
          <w:color w:val="000000"/>
          <w:sz w:val="19"/>
          <w:szCs w:val="19"/>
          <w:lang w:eastAsia="it-IT"/>
        </w:rPr>
        <w:t>, secondo periodo, del decreto del Presidente della Repubblica 29 settembre 1973,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600, e all'articolo 54, secondo comma, secondo periodo, del decreto del Presidente della Repubblica 26 ottobre 1972,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633;</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e)</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l'anticipazione di almeno un anno, con graduazione in funzione del livello di affidabilità, dei termini di decadenza per l'attività di accertamento previsti dall'articolo 43, comma 1, del decreto del Presidente della Repubblica 29 settembre 1973,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600, con riferimento al reddito di impresa e di lavoro autonomo, e dall'articolo 57, comma 1, del decreto del Presidente della Repubblica 26 ottobre 1972,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633;</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 </w:t>
      </w:r>
      <w:r w:rsidRPr="008B768F">
        <w:rPr>
          <w:rFonts w:ascii="Arial" w:eastAsia="Times New Roman" w:hAnsi="Arial" w:cs="Arial"/>
          <w:i/>
          <w:iCs/>
          <w:color w:val="000000"/>
          <w:sz w:val="19"/>
          <w:szCs w:val="19"/>
          <w:lang w:eastAsia="it-IT"/>
        </w:rPr>
        <w:t>f)</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l'esclusione della determinazione sintetica del reddito complessivo di cui all'articolo 38 del decreto del Presidente della Repubblica 29 settembre 1973,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600, a condizione che il reddito complessivo accertabile non ecceda di due terzi il reddito dichiarato.</w:t>
      </w:r>
    </w:p>
    <w:p w:rsidR="00912ADB" w:rsidRPr="008B768F" w:rsidRDefault="00912ADB" w:rsidP="00912ADB">
      <w:pPr>
        <w:shd w:val="clear" w:color="auto" w:fill="FFFFFF"/>
        <w:spacing w:after="0" w:line="240" w:lineRule="auto"/>
        <w:rPr>
          <w:rFonts w:ascii="Arial" w:eastAsia="Times New Roman" w:hAnsi="Arial" w:cs="Arial"/>
          <w:color w:val="000000"/>
          <w:sz w:val="19"/>
          <w:szCs w:val="19"/>
          <w:lang w:eastAsia="it-IT"/>
        </w:rPr>
      </w:pP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11. Con provvedimento del direttore dell'Agenzia delle entrate sono individuati i livelli di affidabilità fiscale, anche con riferimento alle annualità pregresse, ai quali è collegata la graduazione dei benefìci premiali indicati al comma 10; i termini di accesso ai benefìci possono essere differenziati tenendo conto del tipo di attività svolto dal contribuente.</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12. Con riferimento al periodo d'imposta interessato dai benefici premiali di cui al comma 10, in caso di violazioni che comportano l'obbligo di denuncia ai sensi dell'articolo 331 del codice di procedura penale per uno dei reati previsti dal decreto legislativo 10 marzo 2000,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74, non si applicano le disposizioni di cui al comma 10, lettere</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c)</w:t>
      </w:r>
      <w:r w:rsidRPr="008B768F">
        <w:rPr>
          <w:rFonts w:ascii="Arial" w:eastAsia="Times New Roman" w:hAnsi="Arial" w:cs="Arial"/>
          <w:color w:val="000000"/>
          <w:sz w:val="19"/>
          <w:szCs w:val="19"/>
          <w:lang w:eastAsia="it-IT"/>
        </w:rPr>
        <w:t>,</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d)</w:t>
      </w:r>
      <w:r w:rsidRPr="008B768F">
        <w:rPr>
          <w:rFonts w:ascii="Arial" w:eastAsia="Times New Roman" w:hAnsi="Arial" w:cs="Arial"/>
          <w:color w:val="000000"/>
          <w:sz w:val="19"/>
          <w:szCs w:val="19"/>
          <w:lang w:eastAsia="it-IT"/>
        </w:rPr>
        <w:t>,</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e)</w:t>
      </w:r>
      <w:r w:rsidRPr="00912ADB">
        <w:rPr>
          <w:rFonts w:ascii="Arial" w:eastAsia="Times New Roman" w:hAnsi="Arial" w:cs="Arial"/>
          <w:i/>
          <w:iCs/>
          <w:color w:val="000000"/>
          <w:sz w:val="19"/>
          <w:szCs w:val="19"/>
          <w:lang w:eastAsia="it-IT"/>
        </w:rPr>
        <w:t> </w:t>
      </w:r>
      <w:r w:rsidRPr="008B768F">
        <w:rPr>
          <w:rFonts w:ascii="Arial" w:eastAsia="Times New Roman" w:hAnsi="Arial" w:cs="Arial"/>
          <w:color w:val="000000"/>
          <w:sz w:val="19"/>
          <w:szCs w:val="19"/>
          <w:lang w:eastAsia="it-IT"/>
        </w:rPr>
        <w:t>e</w:t>
      </w:r>
      <w:r w:rsidRPr="00912ADB">
        <w:rPr>
          <w:rFonts w:ascii="Arial" w:eastAsia="Times New Roman" w:hAnsi="Arial" w:cs="Arial"/>
          <w:color w:val="000000"/>
          <w:sz w:val="19"/>
          <w:szCs w:val="19"/>
          <w:lang w:eastAsia="it-IT"/>
        </w:rPr>
        <w:t> </w:t>
      </w:r>
      <w:r w:rsidRPr="008B768F">
        <w:rPr>
          <w:rFonts w:ascii="Arial" w:eastAsia="Times New Roman" w:hAnsi="Arial" w:cs="Arial"/>
          <w:i/>
          <w:iCs/>
          <w:color w:val="000000"/>
          <w:sz w:val="19"/>
          <w:szCs w:val="19"/>
          <w:lang w:eastAsia="it-IT"/>
        </w:rPr>
        <w:t>f)</w:t>
      </w:r>
      <w:r w:rsidRPr="008B768F">
        <w:rPr>
          <w:rFonts w:ascii="Arial" w:eastAsia="Times New Roman" w:hAnsi="Arial" w:cs="Arial"/>
          <w:color w:val="000000"/>
          <w:sz w:val="19"/>
          <w:szCs w:val="19"/>
          <w:lang w:eastAsia="it-IT"/>
        </w:rPr>
        <w:t>, del presente articolo.</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xml:space="preserve">13. L'Agenzia delle entrate e il Corpo della guardia di finanza, nel definire specifiche strategie di controllo basate su analisi del rischio di evasione fiscale, tengono conto del livello di affidabilità fiscale dei contribuenti derivante dall'applicazione degli indici nonché delle informazioni presenti nell'apposita sezione dell'anagrafe </w:t>
      </w:r>
      <w:r w:rsidRPr="008B768F">
        <w:rPr>
          <w:rFonts w:ascii="Arial" w:eastAsia="Times New Roman" w:hAnsi="Arial" w:cs="Arial"/>
          <w:color w:val="000000"/>
          <w:sz w:val="19"/>
          <w:szCs w:val="19"/>
          <w:lang w:eastAsia="it-IT"/>
        </w:rPr>
        <w:lastRenderedPageBreak/>
        <w:t>tributaria di cui all'articolo 7, sesto comma, del decreto del Presidente della Repubblica 29 settembre 1973,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605.</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14. All'articolo 10, comma 12, della legge 8 maggio 1998,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146, dopo le parole: «studi di settore,» sono inserite le seguenti: «degli indici sintetici di affidabilità fiscale». La società indicata nell'articolo 10, comma 12, della legge 8 maggio 1998,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146, provvede, altresì, a porre in essere ogni altra attività idonea a sviluppare innovative tecniche di elaborazione dei dati, a potenziare le attività di analisi per contrastare la sottrazione all'imposizione delle basi imponibili, anche di natura contributiva, ad aggiornare la mappa del rischio di evasione e a individuare le relative aree territoriali e settoriali di intervento. Al fine di consentire lo svolgimento delle attività di cui al precedente periodo e di assicurare il coordinamento delle stesse con ulteriori attività svolte dalla medesima società per altre finalità e per conto di altre amministrazioni, la stessa società può stipulare specifiche convenzioni con le amministrazioni pubbliche di cui all'articolo 1, comma 2, del decreto legislativo 30 marzo 2001,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165, ovvero con altri soggetti. Tali convenzioni, aventi ad oggetto anche lo scambio, l'utilizzo e la condivisione dei dati, dei risultati delle elaborazioni e delle nuove metodologie, nonché altre attività, sono stipulate esclusivamente per le finalità stabilite dal presente comma o da altre disposizioni normative. Le convenzioni che hanno ad oggetto la mappa del rischio di evasione e l'analisi per il contrasto della sottrazione di basi imponibili, anche di natura contributiva, sono stipulate, per le rispettive aree di competenza, con le agenzie fiscali, con l'Istituto nazionale della previdenza sociale, con l'Ispettorato nazionale del lavoro e con il Corpo della guardia di finanza. Le quote di partecipazione al capitale della società di cui al secondo periodo del presente comma possono essere cedute, in tutto o in parte, al Ministero dell'economia e delle finanze, in conformità ai princìpi disposti dal decreto legislativo 19 agosto 2016,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175.</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15. Nei casi di omissione della comunicazione dei dati rilevanti ai fini della costruzione e dell'applicazione degli indici, o di comunicazione inesatta o incompleta dei medesimi dati, si applica la sanzione amministrativa pecuniaria prevista dall'articolo 8, comma 1, del decreto legislativo 18 dicembre 1997,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471. L'Agenzia delle entrate, prima della contestazione della violazione, mette a disposizione del contribuente, con le modalità di cui all'articolo 1, commi da 634 a 636, della legge 23 dicembre 2014,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190, le informazioni in proprio possesso, invitando lo stesso ad eseguire la comunicazione dei dati o a correggere spontaneamente gli errori commessi. Del comportamento del contribuente si tiene conto nella graduazione della misura della sanzione. L'Agenzia delle entrate, nei casi di omissione della comunicazione di cui al primo periodo, può altresì procedere, previo contraddittorio, all'accertamento dei redditi, dell'imposta regionale sulle attività produttive e dell'imposta sul valore aggiunto ai sensi, rispettivamente, del secondo comma dell'articolo 39 del decreto del Presidente della Repubblica 29 settembre 1973,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600, e dell'articolo 55 del decreto del Presidente della Repubblica 26 ottobre 1972,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633.</w:t>
      </w:r>
      <w:r w:rsidRPr="00912ADB">
        <w:rPr>
          <w:rFonts w:ascii="Arial" w:eastAsia="Times New Roman" w:hAnsi="Arial" w:cs="Arial"/>
          <w:color w:val="000000"/>
          <w:sz w:val="19"/>
          <w:szCs w:val="19"/>
          <w:lang w:eastAsia="it-IT"/>
        </w:rPr>
        <w:t> </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16. Con provvedimento del direttore dell'Agenzia delle entrate sono emanate le ulteriori disposizioni necessarie per l'attuazione del presente articolo.</w:t>
      </w:r>
    </w:p>
    <w:p w:rsidR="00912ADB" w:rsidRPr="00912ADB" w:rsidRDefault="008B768F" w:rsidP="00912ADB">
      <w:pPr>
        <w:shd w:val="clear" w:color="auto" w:fill="FFFFFF"/>
        <w:spacing w:after="0" w:line="240" w:lineRule="auto"/>
        <w:rPr>
          <w:rFonts w:ascii="Arial" w:eastAsia="Times New Roman" w:hAnsi="Arial" w:cs="Arial"/>
          <w:color w:val="000000"/>
          <w:sz w:val="19"/>
          <w:szCs w:val="19"/>
          <w:lang w:eastAsia="it-IT"/>
        </w:rPr>
      </w:pP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17. Le disposizioni normative e regolamentari relative all'elaborazione e all'applicazione dei parametri previsti dall'articolo 3, commi da 181 a 189, della legge 28 dicembre 1995,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549, e degli studi di settore previsti dagli articoli 62-</w:t>
      </w:r>
      <w:r w:rsidRPr="008B768F">
        <w:rPr>
          <w:rFonts w:ascii="Arial" w:eastAsia="Times New Roman" w:hAnsi="Arial" w:cs="Arial"/>
          <w:i/>
          <w:iCs/>
          <w:color w:val="000000"/>
          <w:sz w:val="19"/>
          <w:szCs w:val="19"/>
          <w:lang w:eastAsia="it-IT"/>
        </w:rPr>
        <w:t>bis</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e 62-</w:t>
      </w:r>
      <w:r w:rsidRPr="008B768F">
        <w:rPr>
          <w:rFonts w:ascii="Arial" w:eastAsia="Times New Roman" w:hAnsi="Arial" w:cs="Arial"/>
          <w:i/>
          <w:iCs/>
          <w:color w:val="000000"/>
          <w:sz w:val="19"/>
          <w:szCs w:val="19"/>
          <w:lang w:eastAsia="it-IT"/>
        </w:rPr>
        <w:t>sexies</w:t>
      </w:r>
      <w:r w:rsidRPr="00912ADB">
        <w:rPr>
          <w:rFonts w:ascii="Arial" w:eastAsia="Times New Roman" w:hAnsi="Arial" w:cs="Arial"/>
          <w:i/>
          <w:iCs/>
          <w:color w:val="000000"/>
          <w:sz w:val="19"/>
          <w:szCs w:val="19"/>
          <w:lang w:eastAsia="it-IT"/>
        </w:rPr>
        <w:t> </w:t>
      </w:r>
      <w:r w:rsidRPr="008B768F">
        <w:rPr>
          <w:rFonts w:ascii="Arial" w:eastAsia="Times New Roman" w:hAnsi="Arial" w:cs="Arial"/>
          <w:color w:val="000000"/>
          <w:sz w:val="19"/>
          <w:szCs w:val="19"/>
          <w:lang w:eastAsia="it-IT"/>
        </w:rPr>
        <w:t>del decreto-legge 30 agosto 1993,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331, convertito, con modificazioni, dalla legge 29 ottobre 1993,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427, cessano di produrre effetti nei confronti dei soggetti interessati agli stessi, con riferimento ai periodi d'imposta in cui si applicano gli indici. Ad eccezione di quanto già disposto dal presente articolo, le norme che, per fini diversi dall'attività di controllo, rinviano alle disposizioni citate nel precedente periodo e ai limiti previsti per l'applicazione degli studi di settore si intendono riferite anche agli indici sintetici di affidabilità. Per le attività di controllo, di accertamento e di irrogazione delle sanzioni effettuate in relazione ai periodi d'imposta antecedenti a quelli di cui al primo periodo si applicano le disposizioni vigenti il giorno antecedente la data di entrata in vigore della presente legge. Sono abrogati l'articolo 10-</w:t>
      </w:r>
      <w:r w:rsidRPr="008B768F">
        <w:rPr>
          <w:rFonts w:ascii="Arial" w:eastAsia="Times New Roman" w:hAnsi="Arial" w:cs="Arial"/>
          <w:i/>
          <w:iCs/>
          <w:color w:val="000000"/>
          <w:sz w:val="19"/>
          <w:szCs w:val="19"/>
          <w:lang w:eastAsia="it-IT"/>
        </w:rPr>
        <w:t>bis</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della legge 8 maggio 1998,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146, e l'articolo 7-</w:t>
      </w:r>
      <w:r w:rsidRPr="008B768F">
        <w:rPr>
          <w:rFonts w:ascii="Arial" w:eastAsia="Times New Roman" w:hAnsi="Arial" w:cs="Arial"/>
          <w:i/>
          <w:iCs/>
          <w:color w:val="000000"/>
          <w:sz w:val="19"/>
          <w:szCs w:val="19"/>
          <w:lang w:eastAsia="it-IT"/>
        </w:rPr>
        <w:t>bis</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del decreto-legge 22 ottobre 2016,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193, convertito, con modificazioni, dalla legge 1</w:t>
      </w:r>
      <w:r w:rsidRPr="008B768F">
        <w:rPr>
          <w:rFonts w:ascii="Arial" w:eastAsia="Times New Roman" w:hAnsi="Arial" w:cs="Arial"/>
          <w:color w:val="000000"/>
          <w:sz w:val="19"/>
          <w:szCs w:val="19"/>
          <w:vertAlign w:val="superscript"/>
          <w:lang w:eastAsia="it-IT"/>
        </w:rPr>
        <w:t>o</w:t>
      </w:r>
      <w:r w:rsidRPr="00912ADB">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dicembre 2016, n.</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225.</w:t>
      </w:r>
      <w:r w:rsidRPr="00912ADB">
        <w:rPr>
          <w:rFonts w:ascii="Arial" w:eastAsia="Times New Roman" w:hAnsi="Arial" w:cs="Arial"/>
          <w:color w:val="000000"/>
          <w:sz w:val="19"/>
          <w:szCs w:val="19"/>
          <w:lang w:eastAsia="it-IT"/>
        </w:rPr>
        <w:t> </w:t>
      </w:r>
    </w:p>
    <w:p w:rsidR="008B768F" w:rsidRPr="008B768F" w:rsidRDefault="008B768F" w:rsidP="00912ADB">
      <w:pPr>
        <w:shd w:val="clear" w:color="auto" w:fill="FFFFFF"/>
        <w:spacing w:after="0" w:line="240" w:lineRule="auto"/>
        <w:rPr>
          <w:rFonts w:ascii="Arial" w:eastAsia="Times New Roman" w:hAnsi="Arial" w:cs="Arial"/>
          <w:color w:val="000000"/>
          <w:sz w:val="19"/>
          <w:szCs w:val="19"/>
          <w:lang w:eastAsia="it-IT"/>
        </w:rPr>
      </w:pPr>
      <w:r w:rsidRPr="008B768F">
        <w:rPr>
          <w:rFonts w:ascii="Arial" w:eastAsia="Times New Roman" w:hAnsi="Arial" w:cs="Arial"/>
          <w:color w:val="000000"/>
          <w:sz w:val="19"/>
          <w:szCs w:val="19"/>
          <w:lang w:eastAsia="it-IT"/>
        </w:rPr>
        <w:br/>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 </w:t>
      </w:r>
      <w:r w:rsidRPr="008B768F">
        <w:rPr>
          <w:rFonts w:ascii="Arial" w:eastAsia="Times New Roman" w:hAnsi="Arial" w:cs="Arial"/>
          <w:color w:val="000000"/>
          <w:sz w:val="19"/>
          <w:szCs w:val="19"/>
          <w:lang w:eastAsia="it-IT"/>
        </w:rPr>
        <w:t>18. Dall'attuazione delle disposizioni del presente articolo non devono derivare nuovi o maggiori oneri a carico della finanza pubblica.</w:t>
      </w:r>
    </w:p>
    <w:p w:rsidR="00912ADB" w:rsidRPr="00912ADB" w:rsidRDefault="00912ADB" w:rsidP="00912ADB">
      <w:pPr>
        <w:spacing w:after="0" w:line="240" w:lineRule="auto"/>
        <w:rPr>
          <w:rFonts w:ascii="Arial" w:eastAsia="Times New Roman" w:hAnsi="Arial" w:cs="Arial"/>
          <w:color w:val="000000"/>
          <w:sz w:val="19"/>
          <w:szCs w:val="19"/>
          <w:lang w:eastAsia="it-IT"/>
        </w:rPr>
      </w:pPr>
    </w:p>
    <w:p w:rsidR="00912ADB" w:rsidRPr="00912ADB" w:rsidRDefault="00912ADB" w:rsidP="00912ADB">
      <w:pPr>
        <w:spacing w:after="0" w:line="240" w:lineRule="auto"/>
        <w:rPr>
          <w:rFonts w:ascii="Arial" w:eastAsia="Times New Roman" w:hAnsi="Arial" w:cs="Arial"/>
          <w:color w:val="000000"/>
          <w:sz w:val="19"/>
          <w:szCs w:val="19"/>
          <w:lang w:eastAsia="it-IT"/>
        </w:rPr>
      </w:pPr>
    </w:p>
    <w:p w:rsidR="008B768F" w:rsidRPr="00912ADB" w:rsidRDefault="008B768F" w:rsidP="00912ADB">
      <w:pPr>
        <w:spacing w:after="0" w:line="240" w:lineRule="auto"/>
        <w:rPr>
          <w:sz w:val="19"/>
          <w:szCs w:val="19"/>
        </w:rPr>
      </w:pPr>
      <w:r w:rsidRPr="00912ADB">
        <w:rPr>
          <w:rFonts w:ascii="Arial" w:eastAsia="Times New Roman" w:hAnsi="Arial" w:cs="Arial"/>
          <w:color w:val="000000"/>
          <w:sz w:val="19"/>
          <w:szCs w:val="19"/>
          <w:lang w:eastAsia="it-IT"/>
        </w:rPr>
        <w:t xml:space="preserve">Pelillo Michele, Bernardo Maurizio, Causi Marco, Barbanti Sebastiano, Bonifazi Francesco, Capozzolo Sabrina, Carella Renzo, Colaninno Matteo, </w:t>
      </w:r>
      <w:proofErr w:type="spellStart"/>
      <w:r w:rsidRPr="00912ADB">
        <w:rPr>
          <w:rFonts w:ascii="Arial" w:eastAsia="Times New Roman" w:hAnsi="Arial" w:cs="Arial"/>
          <w:color w:val="000000"/>
          <w:sz w:val="19"/>
          <w:szCs w:val="19"/>
          <w:lang w:eastAsia="it-IT"/>
        </w:rPr>
        <w:t>Currò</w:t>
      </w:r>
      <w:proofErr w:type="spellEnd"/>
      <w:r w:rsidRPr="00912ADB">
        <w:rPr>
          <w:rFonts w:ascii="Arial" w:eastAsia="Times New Roman" w:hAnsi="Arial" w:cs="Arial"/>
          <w:color w:val="000000"/>
          <w:sz w:val="19"/>
          <w:szCs w:val="19"/>
          <w:lang w:eastAsia="it-IT"/>
        </w:rPr>
        <w:t xml:space="preserve"> Tommaso, De Maria Andrea, Di Maio Marco, </w:t>
      </w:r>
      <w:proofErr w:type="spellStart"/>
      <w:r w:rsidRPr="00912ADB">
        <w:rPr>
          <w:rFonts w:ascii="Arial" w:eastAsia="Times New Roman" w:hAnsi="Arial" w:cs="Arial"/>
          <w:color w:val="000000"/>
          <w:sz w:val="19"/>
          <w:szCs w:val="19"/>
          <w:lang w:eastAsia="it-IT"/>
        </w:rPr>
        <w:t>Fragomeli</w:t>
      </w:r>
      <w:proofErr w:type="spellEnd"/>
      <w:r w:rsidRPr="00912ADB">
        <w:rPr>
          <w:rFonts w:ascii="Arial" w:eastAsia="Times New Roman" w:hAnsi="Arial" w:cs="Arial"/>
          <w:color w:val="000000"/>
          <w:sz w:val="19"/>
          <w:szCs w:val="19"/>
          <w:lang w:eastAsia="it-IT"/>
        </w:rPr>
        <w:t xml:space="preserve"> Gian Mario, </w:t>
      </w:r>
      <w:proofErr w:type="spellStart"/>
      <w:r w:rsidRPr="00912ADB">
        <w:rPr>
          <w:rFonts w:ascii="Arial" w:eastAsia="Times New Roman" w:hAnsi="Arial" w:cs="Arial"/>
          <w:color w:val="000000"/>
          <w:sz w:val="19"/>
          <w:szCs w:val="19"/>
          <w:lang w:eastAsia="it-IT"/>
        </w:rPr>
        <w:t>Fregolent</w:t>
      </w:r>
      <w:proofErr w:type="spellEnd"/>
      <w:r w:rsidRPr="00912ADB">
        <w:rPr>
          <w:rFonts w:ascii="Arial" w:eastAsia="Times New Roman" w:hAnsi="Arial" w:cs="Arial"/>
          <w:color w:val="000000"/>
          <w:sz w:val="19"/>
          <w:szCs w:val="19"/>
          <w:lang w:eastAsia="it-IT"/>
        </w:rPr>
        <w:t xml:space="preserve"> Silvia, </w:t>
      </w:r>
      <w:proofErr w:type="spellStart"/>
      <w:r w:rsidRPr="00912ADB">
        <w:rPr>
          <w:rFonts w:ascii="Arial" w:eastAsia="Times New Roman" w:hAnsi="Arial" w:cs="Arial"/>
          <w:color w:val="000000"/>
          <w:sz w:val="19"/>
          <w:szCs w:val="19"/>
          <w:lang w:eastAsia="it-IT"/>
        </w:rPr>
        <w:t>Ginato</w:t>
      </w:r>
      <w:proofErr w:type="spellEnd"/>
      <w:r w:rsidRPr="00912ADB">
        <w:rPr>
          <w:rFonts w:ascii="Arial" w:eastAsia="Times New Roman" w:hAnsi="Arial" w:cs="Arial"/>
          <w:color w:val="000000"/>
          <w:sz w:val="19"/>
          <w:szCs w:val="19"/>
          <w:lang w:eastAsia="it-IT"/>
        </w:rPr>
        <w:t xml:space="preserve"> Federico, </w:t>
      </w:r>
      <w:proofErr w:type="spellStart"/>
      <w:r w:rsidRPr="00912ADB">
        <w:rPr>
          <w:rFonts w:ascii="Arial" w:eastAsia="Times New Roman" w:hAnsi="Arial" w:cs="Arial"/>
          <w:color w:val="000000"/>
          <w:sz w:val="19"/>
          <w:szCs w:val="19"/>
          <w:lang w:eastAsia="it-IT"/>
        </w:rPr>
        <w:t>Gitti</w:t>
      </w:r>
      <w:proofErr w:type="spellEnd"/>
      <w:r w:rsidRPr="00912ADB">
        <w:rPr>
          <w:rFonts w:ascii="Arial" w:eastAsia="Times New Roman" w:hAnsi="Arial" w:cs="Arial"/>
          <w:color w:val="000000"/>
          <w:sz w:val="19"/>
          <w:szCs w:val="19"/>
          <w:lang w:eastAsia="it-IT"/>
        </w:rPr>
        <w:t xml:space="preserve"> Gregorio, </w:t>
      </w:r>
      <w:proofErr w:type="spellStart"/>
      <w:r w:rsidRPr="00912ADB">
        <w:rPr>
          <w:rFonts w:ascii="Arial" w:eastAsia="Times New Roman" w:hAnsi="Arial" w:cs="Arial"/>
          <w:color w:val="000000"/>
          <w:sz w:val="19"/>
          <w:szCs w:val="19"/>
          <w:lang w:eastAsia="it-IT"/>
        </w:rPr>
        <w:t>Gutgeld</w:t>
      </w:r>
      <w:proofErr w:type="spellEnd"/>
      <w:r w:rsidRPr="00912ADB">
        <w:rPr>
          <w:rFonts w:ascii="Arial" w:eastAsia="Times New Roman" w:hAnsi="Arial" w:cs="Arial"/>
          <w:color w:val="000000"/>
          <w:sz w:val="19"/>
          <w:szCs w:val="19"/>
          <w:lang w:eastAsia="it-IT"/>
        </w:rPr>
        <w:t xml:space="preserve"> </w:t>
      </w:r>
      <w:proofErr w:type="spellStart"/>
      <w:r w:rsidRPr="00912ADB">
        <w:rPr>
          <w:rFonts w:ascii="Arial" w:eastAsia="Times New Roman" w:hAnsi="Arial" w:cs="Arial"/>
          <w:color w:val="000000"/>
          <w:sz w:val="19"/>
          <w:szCs w:val="19"/>
          <w:lang w:eastAsia="it-IT"/>
        </w:rPr>
        <w:t>Itzhak</w:t>
      </w:r>
      <w:proofErr w:type="spellEnd"/>
      <w:r w:rsidRPr="00912ADB">
        <w:rPr>
          <w:rFonts w:ascii="Arial" w:eastAsia="Times New Roman" w:hAnsi="Arial" w:cs="Arial"/>
          <w:color w:val="000000"/>
          <w:sz w:val="19"/>
          <w:szCs w:val="19"/>
          <w:lang w:eastAsia="it-IT"/>
        </w:rPr>
        <w:t xml:space="preserve"> Yoram, Lodolini Emanuele, Moretto Sara, Petrini Paolo, Pinna Paola, </w:t>
      </w:r>
      <w:proofErr w:type="spellStart"/>
      <w:r w:rsidRPr="00912ADB">
        <w:rPr>
          <w:rFonts w:ascii="Arial" w:eastAsia="Times New Roman" w:hAnsi="Arial" w:cs="Arial"/>
          <w:color w:val="000000"/>
          <w:sz w:val="19"/>
          <w:szCs w:val="19"/>
          <w:lang w:eastAsia="it-IT"/>
        </w:rPr>
        <w:t>Ribaudo</w:t>
      </w:r>
      <w:proofErr w:type="spellEnd"/>
      <w:r w:rsidRPr="00912ADB">
        <w:rPr>
          <w:rFonts w:ascii="Arial" w:eastAsia="Times New Roman" w:hAnsi="Arial" w:cs="Arial"/>
          <w:color w:val="000000"/>
          <w:sz w:val="19"/>
          <w:szCs w:val="19"/>
          <w:lang w:eastAsia="it-IT"/>
        </w:rPr>
        <w:t xml:space="preserve"> Francesco, </w:t>
      </w:r>
      <w:proofErr w:type="spellStart"/>
      <w:r w:rsidRPr="00912ADB">
        <w:rPr>
          <w:rFonts w:ascii="Arial" w:eastAsia="Times New Roman" w:hAnsi="Arial" w:cs="Arial"/>
          <w:color w:val="000000"/>
          <w:sz w:val="19"/>
          <w:szCs w:val="19"/>
          <w:lang w:eastAsia="it-IT"/>
        </w:rPr>
        <w:t>Sanga</w:t>
      </w:r>
      <w:proofErr w:type="spellEnd"/>
      <w:r w:rsidRPr="00912ADB">
        <w:rPr>
          <w:rFonts w:ascii="Arial" w:eastAsia="Times New Roman" w:hAnsi="Arial" w:cs="Arial"/>
          <w:color w:val="000000"/>
          <w:sz w:val="19"/>
          <w:szCs w:val="19"/>
          <w:lang w:eastAsia="it-IT"/>
        </w:rPr>
        <w:t xml:space="preserve"> Giovanni, Pastorino Luca, </w:t>
      </w:r>
      <w:proofErr w:type="spellStart"/>
      <w:r w:rsidRPr="00912ADB">
        <w:rPr>
          <w:rFonts w:ascii="Arial" w:eastAsia="Times New Roman" w:hAnsi="Arial" w:cs="Arial"/>
          <w:color w:val="000000"/>
          <w:sz w:val="19"/>
          <w:szCs w:val="19"/>
          <w:lang w:eastAsia="it-IT"/>
        </w:rPr>
        <w:t>Giorgetti</w:t>
      </w:r>
      <w:proofErr w:type="spellEnd"/>
      <w:r w:rsidRPr="00912ADB">
        <w:rPr>
          <w:rFonts w:ascii="Arial" w:eastAsia="Times New Roman" w:hAnsi="Arial" w:cs="Arial"/>
          <w:color w:val="000000"/>
          <w:sz w:val="19"/>
          <w:szCs w:val="19"/>
          <w:lang w:eastAsia="it-IT"/>
        </w:rPr>
        <w:t xml:space="preserve"> Alberto</w:t>
      </w:r>
    </w:p>
    <w:sectPr w:rsidR="008B768F" w:rsidRPr="00912A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386BA1"/>
    <w:rsid w:val="00402B0B"/>
    <w:rsid w:val="006B41FD"/>
    <w:rsid w:val="008B768F"/>
    <w:rsid w:val="008F48B8"/>
    <w:rsid w:val="00912ADB"/>
    <w:rsid w:val="009A2282"/>
    <w:rsid w:val="00AB7B2E"/>
    <w:rsid w:val="00EC62E9"/>
    <w:rsid w:val="00FC0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76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B768F"/>
  </w:style>
  <w:style w:type="character" w:styleId="Collegamentoipertestuale">
    <w:name w:val="Hyperlink"/>
    <w:basedOn w:val="Carpredefinitoparagrafo"/>
    <w:uiPriority w:val="99"/>
    <w:semiHidden/>
    <w:unhideWhenUsed/>
    <w:rsid w:val="008B768F"/>
    <w:rPr>
      <w:color w:val="0000FF"/>
      <w:u w:val="single"/>
    </w:rPr>
  </w:style>
  <w:style w:type="character" w:styleId="Enfasigrassetto">
    <w:name w:val="Strong"/>
    <w:basedOn w:val="Carpredefinitoparagrafo"/>
    <w:uiPriority w:val="22"/>
    <w:qFormat/>
    <w:rsid w:val="008B768F"/>
    <w:rPr>
      <w:b/>
      <w:bCs/>
    </w:rPr>
  </w:style>
  <w:style w:type="character" w:customStyle="1" w:styleId="approvato">
    <w:name w:val="approvato"/>
    <w:basedOn w:val="Carpredefinitoparagrafo"/>
    <w:rsid w:val="008B7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76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B768F"/>
  </w:style>
  <w:style w:type="character" w:styleId="Collegamentoipertestuale">
    <w:name w:val="Hyperlink"/>
    <w:basedOn w:val="Carpredefinitoparagrafo"/>
    <w:uiPriority w:val="99"/>
    <w:semiHidden/>
    <w:unhideWhenUsed/>
    <w:rsid w:val="008B768F"/>
    <w:rPr>
      <w:color w:val="0000FF"/>
      <w:u w:val="single"/>
    </w:rPr>
  </w:style>
  <w:style w:type="character" w:styleId="Enfasigrassetto">
    <w:name w:val="Strong"/>
    <w:basedOn w:val="Carpredefinitoparagrafo"/>
    <w:uiPriority w:val="22"/>
    <w:qFormat/>
    <w:rsid w:val="008B768F"/>
    <w:rPr>
      <w:b/>
      <w:bCs/>
    </w:rPr>
  </w:style>
  <w:style w:type="character" w:customStyle="1" w:styleId="approvato">
    <w:name w:val="approvato"/>
    <w:basedOn w:val="Carpredefinitoparagrafo"/>
    <w:rsid w:val="008B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0653">
      <w:bodyDiv w:val="1"/>
      <w:marLeft w:val="0"/>
      <w:marRight w:val="0"/>
      <w:marTop w:val="0"/>
      <w:marBottom w:val="0"/>
      <w:divBdr>
        <w:top w:val="none" w:sz="0" w:space="0" w:color="auto"/>
        <w:left w:val="none" w:sz="0" w:space="0" w:color="auto"/>
        <w:bottom w:val="none" w:sz="0" w:space="0" w:color="auto"/>
        <w:right w:val="none" w:sz="0" w:space="0" w:color="auto"/>
      </w:divBdr>
      <w:divsChild>
        <w:div w:id="1614559920">
          <w:marLeft w:val="600"/>
          <w:marRight w:val="0"/>
          <w:marTop w:val="150"/>
          <w:marBottom w:val="0"/>
          <w:divBdr>
            <w:top w:val="none" w:sz="0" w:space="0" w:color="auto"/>
            <w:left w:val="none" w:sz="0" w:space="0" w:color="auto"/>
            <w:bottom w:val="none" w:sz="0" w:space="0" w:color="auto"/>
            <w:right w:val="none" w:sz="0" w:space="0" w:color="auto"/>
          </w:divBdr>
        </w:div>
        <w:div w:id="273248559">
          <w:marLeft w:val="600"/>
          <w:marRight w:val="0"/>
          <w:marTop w:val="0"/>
          <w:marBottom w:val="150"/>
          <w:divBdr>
            <w:top w:val="none" w:sz="0" w:space="0" w:color="auto"/>
            <w:left w:val="none" w:sz="0" w:space="0" w:color="auto"/>
            <w:bottom w:val="single" w:sz="6" w:space="8" w:color="B7BAC3"/>
            <w:right w:val="none" w:sz="0" w:space="0" w:color="auto"/>
          </w:divBdr>
        </w:div>
      </w:divsChild>
    </w:div>
    <w:div w:id="1543009994">
      <w:bodyDiv w:val="1"/>
      <w:marLeft w:val="0"/>
      <w:marRight w:val="0"/>
      <w:marTop w:val="0"/>
      <w:marBottom w:val="0"/>
      <w:divBdr>
        <w:top w:val="none" w:sz="0" w:space="0" w:color="auto"/>
        <w:left w:val="none" w:sz="0" w:space="0" w:color="auto"/>
        <w:bottom w:val="none" w:sz="0" w:space="0" w:color="auto"/>
        <w:right w:val="none" w:sz="0" w:space="0" w:color="auto"/>
      </w:divBdr>
      <w:divsChild>
        <w:div w:id="1427964804">
          <w:marLeft w:val="150"/>
          <w:marRight w:val="150"/>
          <w:marTop w:val="120"/>
          <w:marBottom w:val="120"/>
          <w:divBdr>
            <w:top w:val="none" w:sz="0" w:space="0" w:color="auto"/>
            <w:left w:val="none" w:sz="0" w:space="0" w:color="auto"/>
            <w:bottom w:val="none" w:sz="0" w:space="0" w:color="auto"/>
            <w:right w:val="none" w:sz="0" w:space="0" w:color="auto"/>
          </w:divBdr>
        </w:div>
        <w:div w:id="356010021">
          <w:marLeft w:val="0"/>
          <w:marRight w:val="0"/>
          <w:marTop w:val="0"/>
          <w:marBottom w:val="0"/>
          <w:divBdr>
            <w:top w:val="none" w:sz="0" w:space="0" w:color="auto"/>
            <w:left w:val="none" w:sz="0" w:space="0" w:color="auto"/>
            <w:bottom w:val="none" w:sz="0" w:space="0" w:color="auto"/>
            <w:right w:val="none" w:sz="0" w:space="0" w:color="auto"/>
          </w:divBdr>
          <w:divsChild>
            <w:div w:id="2040932265">
              <w:marLeft w:val="0"/>
              <w:marRight w:val="0"/>
              <w:marTop w:val="0"/>
              <w:marBottom w:val="0"/>
              <w:divBdr>
                <w:top w:val="none" w:sz="0" w:space="0" w:color="auto"/>
                <w:left w:val="none" w:sz="0" w:space="0" w:color="auto"/>
                <w:bottom w:val="none" w:sz="0" w:space="0" w:color="auto"/>
                <w:right w:val="none" w:sz="0" w:space="0" w:color="auto"/>
              </w:divBdr>
              <w:divsChild>
                <w:div w:id="1378234688">
                  <w:marLeft w:val="150"/>
                  <w:marRight w:val="150"/>
                  <w:marTop w:val="150"/>
                  <w:marBottom w:val="150"/>
                  <w:divBdr>
                    <w:top w:val="none" w:sz="0" w:space="0" w:color="auto"/>
                    <w:left w:val="none" w:sz="0" w:space="0" w:color="auto"/>
                    <w:bottom w:val="none" w:sz="0" w:space="0" w:color="auto"/>
                    <w:right w:val="none" w:sz="0" w:space="0" w:color="auto"/>
                  </w:divBdr>
                  <w:divsChild>
                    <w:div w:id="1919094455">
                      <w:marLeft w:val="0"/>
                      <w:marRight w:val="0"/>
                      <w:marTop w:val="0"/>
                      <w:marBottom w:val="0"/>
                      <w:divBdr>
                        <w:top w:val="none" w:sz="0" w:space="0" w:color="auto"/>
                        <w:left w:val="none" w:sz="0" w:space="0" w:color="auto"/>
                        <w:bottom w:val="none" w:sz="0" w:space="0" w:color="auto"/>
                        <w:right w:val="none" w:sz="0" w:space="0" w:color="auto"/>
                      </w:divBdr>
                    </w:div>
                    <w:div w:id="5615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2499</Words>
  <Characters>14249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Calabrese</dc:creator>
  <cp:lastModifiedBy>becattini</cp:lastModifiedBy>
  <cp:revision>2</cp:revision>
  <dcterms:created xsi:type="dcterms:W3CDTF">2017-05-30T06:04:00Z</dcterms:created>
  <dcterms:modified xsi:type="dcterms:W3CDTF">2017-05-30T06:04:00Z</dcterms:modified>
</cp:coreProperties>
</file>